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80" w:rsidRPr="00F32AC6" w:rsidRDefault="00005480" w:rsidP="00005480">
      <w:pPr>
        <w:rPr>
          <w:b/>
          <w:lang w:val="en-US"/>
        </w:rPr>
      </w:pPr>
      <w:r w:rsidRPr="00F32AC6">
        <w:rPr>
          <w:b/>
          <w:lang w:val="en-US"/>
        </w:rPr>
        <w:t xml:space="preserve">The </w:t>
      </w:r>
      <w:r>
        <w:rPr>
          <w:b/>
          <w:lang w:val="en-US"/>
        </w:rPr>
        <w:t>appendage/</w:t>
      </w:r>
      <w:r w:rsidRPr="00F32AC6">
        <w:rPr>
          <w:b/>
          <w:lang w:val="en-US"/>
        </w:rPr>
        <w:t xml:space="preserve">leg specific ABCH2 transporter mediates insecticide toxicity in the malaria vector </w:t>
      </w:r>
      <w:r w:rsidRPr="00C63C2E">
        <w:rPr>
          <w:b/>
          <w:i/>
          <w:lang w:val="en-US"/>
        </w:rPr>
        <w:t xml:space="preserve">Anopheles </w:t>
      </w:r>
      <w:proofErr w:type="spellStart"/>
      <w:r>
        <w:rPr>
          <w:b/>
          <w:i/>
          <w:lang w:val="en-US"/>
        </w:rPr>
        <w:t>coluzzii</w:t>
      </w:r>
      <w:proofErr w:type="spellEnd"/>
      <w:r w:rsidRPr="00F32AC6">
        <w:rPr>
          <w:b/>
          <w:lang w:val="en-US"/>
        </w:rPr>
        <w:t xml:space="preserve"> </w:t>
      </w:r>
    </w:p>
    <w:p w:rsidR="00005480" w:rsidRDefault="00005480" w:rsidP="00005480">
      <w:pPr>
        <w:spacing w:before="100" w:beforeAutospacing="1" w:after="100" w:afterAutospacing="1" w:line="240" w:lineRule="auto"/>
        <w:rPr>
          <w:rFonts w:eastAsia="Times New Roman" w:cstheme="minorHAnsi"/>
          <w:sz w:val="24"/>
          <w:szCs w:val="24"/>
          <w:vertAlign w:val="superscript"/>
          <w:lang w:val="en-US"/>
        </w:rPr>
      </w:pPr>
      <w:r w:rsidRPr="00470EF5">
        <w:rPr>
          <w:rFonts w:eastAsia="Times New Roman" w:cstheme="minorHAnsi"/>
          <w:sz w:val="24"/>
          <w:szCs w:val="24"/>
          <w:lang w:val="en-US"/>
        </w:rPr>
        <w:t xml:space="preserve">Mary Kefi </w:t>
      </w:r>
      <w:r w:rsidRPr="00470EF5">
        <w:rPr>
          <w:rFonts w:eastAsia="Times New Roman" w:cstheme="minorHAnsi"/>
          <w:sz w:val="24"/>
          <w:szCs w:val="24"/>
          <w:vertAlign w:val="superscript"/>
          <w:lang w:val="en-US"/>
        </w:rPr>
        <w:t>1</w:t>
      </w:r>
      <w:proofErr w:type="gramStart"/>
      <w:r w:rsidRPr="00470EF5">
        <w:rPr>
          <w:rFonts w:eastAsia="Times New Roman" w:cstheme="minorHAnsi"/>
          <w:sz w:val="24"/>
          <w:szCs w:val="24"/>
          <w:vertAlign w:val="superscript"/>
          <w:lang w:val="en-US"/>
        </w:rPr>
        <w:t>,2</w:t>
      </w:r>
      <w:r w:rsidRPr="00470EF5">
        <w:rPr>
          <w:rFonts w:eastAsia="Times New Roman" w:cstheme="minorHAnsi"/>
          <w:sz w:val="24"/>
          <w:szCs w:val="24"/>
          <w:lang w:val="en-US"/>
        </w:rPr>
        <w:t>,Vasileia</w:t>
      </w:r>
      <w:proofErr w:type="gramEnd"/>
      <w:r w:rsidRPr="00470EF5">
        <w:rPr>
          <w:rFonts w:eastAsia="Times New Roman" w:cstheme="minorHAnsi"/>
          <w:sz w:val="24"/>
          <w:szCs w:val="24"/>
          <w:lang w:val="en-US"/>
        </w:rPr>
        <w:t xml:space="preserve"> </w:t>
      </w:r>
      <w:proofErr w:type="spellStart"/>
      <w:r w:rsidRPr="00470EF5">
        <w:rPr>
          <w:rFonts w:eastAsia="Times New Roman" w:cstheme="minorHAnsi"/>
          <w:sz w:val="24"/>
          <w:szCs w:val="24"/>
          <w:lang w:val="en-US"/>
        </w:rPr>
        <w:t>Balabanidou</w:t>
      </w:r>
      <w:proofErr w:type="spellEnd"/>
      <w:r w:rsidRPr="00470EF5">
        <w:rPr>
          <w:rFonts w:eastAsia="Times New Roman" w:cstheme="minorHAnsi"/>
          <w:sz w:val="24"/>
          <w:szCs w:val="24"/>
          <w:lang w:val="en-US"/>
        </w:rPr>
        <w:t xml:space="preserve"> </w:t>
      </w:r>
      <w:r w:rsidRPr="00470EF5">
        <w:rPr>
          <w:rFonts w:eastAsia="Times New Roman" w:cstheme="minorHAnsi"/>
          <w:sz w:val="24"/>
          <w:szCs w:val="24"/>
          <w:vertAlign w:val="superscript"/>
          <w:lang w:val="en-US"/>
        </w:rPr>
        <w:t>2</w:t>
      </w:r>
      <w:r w:rsidRPr="00470EF5">
        <w:rPr>
          <w:rFonts w:eastAsia="Times New Roman" w:cstheme="minorHAnsi"/>
          <w:sz w:val="24"/>
          <w:szCs w:val="24"/>
          <w:lang w:val="en-US"/>
        </w:rPr>
        <w:t>,</w:t>
      </w:r>
      <w:r w:rsidRPr="00B86613">
        <w:rPr>
          <w:rFonts w:eastAsia="Times New Roman" w:cstheme="minorHAnsi"/>
          <w:sz w:val="24"/>
          <w:szCs w:val="24"/>
          <w:lang w:val="en-US"/>
        </w:rPr>
        <w:t xml:space="preserve"> </w:t>
      </w:r>
      <w:proofErr w:type="spellStart"/>
      <w:r>
        <w:rPr>
          <w:rFonts w:eastAsia="Times New Roman" w:cstheme="minorHAnsi"/>
          <w:sz w:val="24"/>
          <w:szCs w:val="24"/>
          <w:lang w:val="en-US"/>
        </w:rPr>
        <w:t>Chara</w:t>
      </w:r>
      <w:proofErr w:type="spellEnd"/>
      <w:r>
        <w:rPr>
          <w:rFonts w:eastAsia="Times New Roman" w:cstheme="minorHAnsi"/>
          <w:sz w:val="24"/>
          <w:szCs w:val="24"/>
          <w:lang w:val="en-US"/>
        </w:rPr>
        <w:t xml:space="preserve"> Sarafoglou</w:t>
      </w:r>
      <w:r w:rsidRPr="00B86613">
        <w:rPr>
          <w:rFonts w:eastAsia="Times New Roman" w:cstheme="minorHAnsi"/>
          <w:sz w:val="24"/>
          <w:szCs w:val="24"/>
          <w:vertAlign w:val="superscript"/>
          <w:lang w:val="en-US"/>
        </w:rPr>
        <w:t>1,2</w:t>
      </w:r>
      <w:r>
        <w:rPr>
          <w:rFonts w:eastAsia="Times New Roman" w:cstheme="minorHAnsi"/>
          <w:sz w:val="24"/>
          <w:szCs w:val="24"/>
          <w:lang w:val="en-US"/>
        </w:rPr>
        <w:t>, George Gouridis</w:t>
      </w:r>
      <w:r w:rsidRPr="00B86613">
        <w:rPr>
          <w:rFonts w:eastAsia="Times New Roman" w:cstheme="minorHAnsi"/>
          <w:sz w:val="24"/>
          <w:szCs w:val="24"/>
          <w:vertAlign w:val="superscript"/>
          <w:lang w:val="en-US"/>
        </w:rPr>
        <w:t>2</w:t>
      </w:r>
      <w:r>
        <w:rPr>
          <w:rFonts w:eastAsia="Times New Roman" w:cstheme="minorHAnsi"/>
          <w:sz w:val="24"/>
          <w:szCs w:val="24"/>
          <w:lang w:val="en-US"/>
        </w:rPr>
        <w:t xml:space="preserve"> and </w:t>
      </w:r>
      <w:r w:rsidRPr="00470EF5">
        <w:rPr>
          <w:rFonts w:eastAsia="Times New Roman" w:cstheme="minorHAnsi"/>
          <w:sz w:val="24"/>
          <w:szCs w:val="24"/>
          <w:lang w:val="en-US"/>
        </w:rPr>
        <w:t xml:space="preserve">John </w:t>
      </w:r>
      <w:proofErr w:type="spellStart"/>
      <w:r w:rsidRPr="00470EF5">
        <w:rPr>
          <w:rFonts w:eastAsia="Times New Roman" w:cstheme="minorHAnsi"/>
          <w:sz w:val="24"/>
          <w:szCs w:val="24"/>
          <w:lang w:val="en-US"/>
        </w:rPr>
        <w:t>Vontas</w:t>
      </w:r>
      <w:proofErr w:type="spellEnd"/>
      <w:r w:rsidRPr="00470EF5">
        <w:rPr>
          <w:rFonts w:eastAsia="Times New Roman" w:cstheme="minorHAnsi"/>
          <w:sz w:val="24"/>
          <w:szCs w:val="24"/>
          <w:lang w:val="en-US"/>
        </w:rPr>
        <w:t xml:space="preserve"> </w:t>
      </w:r>
      <w:r w:rsidRPr="00B86613">
        <w:rPr>
          <w:rFonts w:eastAsia="Times New Roman" w:cstheme="minorHAnsi"/>
          <w:sz w:val="24"/>
          <w:szCs w:val="24"/>
          <w:vertAlign w:val="superscript"/>
          <w:lang w:val="en-US"/>
        </w:rPr>
        <w:t>2</w:t>
      </w:r>
      <w:r w:rsidRPr="00470EF5">
        <w:rPr>
          <w:rFonts w:eastAsia="Times New Roman" w:cstheme="minorHAnsi"/>
          <w:sz w:val="24"/>
          <w:szCs w:val="24"/>
          <w:vertAlign w:val="superscript"/>
          <w:lang w:val="en-US"/>
        </w:rPr>
        <w:t>,4</w:t>
      </w:r>
    </w:p>
    <w:p w:rsidR="00005480" w:rsidRPr="00D55FCD" w:rsidRDefault="00005480" w:rsidP="00005480">
      <w:pPr>
        <w:pStyle w:val="BodyA"/>
        <w:jc w:val="both"/>
        <w:outlineLvl w:val="0"/>
        <w:rPr>
          <w:rFonts w:asciiTheme="minorHAnsi" w:hAnsiTheme="minorHAnsi" w:cstheme="minorHAnsi"/>
          <w:sz w:val="22"/>
          <w:szCs w:val="22"/>
        </w:rPr>
      </w:pPr>
      <w:r w:rsidRPr="00D55FCD">
        <w:rPr>
          <w:rFonts w:asciiTheme="minorHAnsi" w:hAnsiTheme="minorHAnsi" w:cstheme="minorHAnsi"/>
          <w:sz w:val="22"/>
          <w:szCs w:val="22"/>
          <w:vertAlign w:val="superscript"/>
        </w:rPr>
        <w:t>1</w:t>
      </w:r>
      <w:r w:rsidRPr="00D55FCD">
        <w:rPr>
          <w:rFonts w:asciiTheme="minorHAnsi" w:hAnsiTheme="minorHAnsi" w:cstheme="minorHAnsi"/>
          <w:sz w:val="22"/>
          <w:szCs w:val="22"/>
        </w:rPr>
        <w:t xml:space="preserve">Department of Biology, University of Crete, </w:t>
      </w:r>
      <w:proofErr w:type="spellStart"/>
      <w:r w:rsidRPr="00D55FCD">
        <w:rPr>
          <w:rFonts w:asciiTheme="minorHAnsi" w:hAnsiTheme="minorHAnsi" w:cstheme="minorHAnsi"/>
          <w:sz w:val="22"/>
          <w:szCs w:val="22"/>
        </w:rPr>
        <w:t>Vassilika</w:t>
      </w:r>
      <w:proofErr w:type="spellEnd"/>
      <w:r w:rsidRPr="00D55FCD">
        <w:rPr>
          <w:rFonts w:asciiTheme="minorHAnsi" w:hAnsiTheme="minorHAnsi" w:cstheme="minorHAnsi"/>
          <w:sz w:val="22"/>
          <w:szCs w:val="22"/>
        </w:rPr>
        <w:t xml:space="preserve"> </w:t>
      </w:r>
      <w:proofErr w:type="spellStart"/>
      <w:r w:rsidRPr="00D55FCD">
        <w:rPr>
          <w:rFonts w:asciiTheme="minorHAnsi" w:hAnsiTheme="minorHAnsi" w:cstheme="minorHAnsi"/>
          <w:sz w:val="22"/>
          <w:szCs w:val="22"/>
        </w:rPr>
        <w:t>Vouton</w:t>
      </w:r>
      <w:proofErr w:type="spellEnd"/>
      <w:r w:rsidRPr="00D55FCD">
        <w:rPr>
          <w:rFonts w:asciiTheme="minorHAnsi" w:hAnsiTheme="minorHAnsi" w:cstheme="minorHAnsi"/>
          <w:sz w:val="22"/>
          <w:szCs w:val="22"/>
        </w:rPr>
        <w:t xml:space="preserve">, 71409, </w:t>
      </w:r>
      <w:proofErr w:type="spellStart"/>
      <w:r w:rsidRPr="00D55FCD">
        <w:rPr>
          <w:rFonts w:asciiTheme="minorHAnsi" w:hAnsiTheme="minorHAnsi" w:cstheme="minorHAnsi"/>
          <w:sz w:val="22"/>
          <w:szCs w:val="22"/>
        </w:rPr>
        <w:t>Heraklion</w:t>
      </w:r>
      <w:proofErr w:type="spellEnd"/>
      <w:r w:rsidRPr="00D55FCD">
        <w:rPr>
          <w:rFonts w:asciiTheme="minorHAnsi" w:hAnsiTheme="minorHAnsi" w:cstheme="minorHAnsi"/>
          <w:sz w:val="22"/>
          <w:szCs w:val="22"/>
        </w:rPr>
        <w:t>, Greece</w:t>
      </w:r>
    </w:p>
    <w:p w:rsidR="00005480" w:rsidRPr="00D55FCD" w:rsidRDefault="00005480" w:rsidP="00005480">
      <w:pPr>
        <w:pStyle w:val="BodyA"/>
        <w:rPr>
          <w:rFonts w:asciiTheme="minorHAnsi" w:hAnsiTheme="minorHAnsi" w:cstheme="minorHAnsi"/>
          <w:sz w:val="22"/>
          <w:szCs w:val="22"/>
        </w:rPr>
      </w:pPr>
      <w:r w:rsidRPr="00D55FCD">
        <w:rPr>
          <w:rFonts w:asciiTheme="minorHAnsi" w:hAnsiTheme="minorHAnsi" w:cstheme="minorHAnsi"/>
          <w:sz w:val="22"/>
          <w:szCs w:val="22"/>
        </w:rPr>
        <w:t xml:space="preserve">²Institute of Molecular Biology and Biotechnology, Foundation for Research and Technology-Hellas, 73100 </w:t>
      </w:r>
      <w:proofErr w:type="spellStart"/>
      <w:r w:rsidRPr="00D55FCD">
        <w:rPr>
          <w:rFonts w:asciiTheme="minorHAnsi" w:hAnsiTheme="minorHAnsi" w:cstheme="minorHAnsi"/>
          <w:sz w:val="22"/>
          <w:szCs w:val="22"/>
        </w:rPr>
        <w:t>Heraklion</w:t>
      </w:r>
      <w:proofErr w:type="spellEnd"/>
      <w:r w:rsidRPr="00D55FCD">
        <w:rPr>
          <w:rFonts w:asciiTheme="minorHAnsi" w:hAnsiTheme="minorHAnsi" w:cstheme="minorHAnsi"/>
          <w:sz w:val="22"/>
          <w:szCs w:val="22"/>
        </w:rPr>
        <w:t>, Greece</w:t>
      </w:r>
    </w:p>
    <w:p w:rsidR="00005480" w:rsidRPr="00D55FCD" w:rsidRDefault="00005480" w:rsidP="00005480">
      <w:pPr>
        <w:jc w:val="both"/>
        <w:outlineLvl w:val="0"/>
        <w:rPr>
          <w:rFonts w:cstheme="minorHAnsi"/>
          <w:lang w:val="en-US"/>
        </w:rPr>
      </w:pPr>
      <w:r w:rsidRPr="00D55FCD">
        <w:rPr>
          <w:rFonts w:cstheme="minorHAnsi"/>
          <w:vertAlign w:val="superscript"/>
          <w:lang w:val="en-US"/>
        </w:rPr>
        <w:t>3</w:t>
      </w:r>
      <w:r w:rsidRPr="00D55FCD">
        <w:rPr>
          <w:rFonts w:cstheme="minorHAnsi"/>
          <w:lang w:val="en-US"/>
        </w:rPr>
        <w:t>Department of Vector Biology, Liverpool School of Tropical Medicine, Pembroke Place, Liverpool, UK</w:t>
      </w:r>
    </w:p>
    <w:p w:rsidR="00005480" w:rsidRDefault="00005480" w:rsidP="00005480">
      <w:pPr>
        <w:pStyle w:val="BodyA"/>
        <w:tabs>
          <w:tab w:val="left" w:pos="1440"/>
          <w:tab w:val="left" w:pos="2160"/>
          <w:tab w:val="left" w:pos="2880"/>
          <w:tab w:val="left" w:pos="3600"/>
          <w:tab w:val="left" w:pos="4320"/>
          <w:tab w:val="left" w:pos="5040"/>
          <w:tab w:val="left" w:pos="5760"/>
          <w:tab w:val="left" w:pos="6480"/>
          <w:tab w:val="left" w:pos="7200"/>
          <w:tab w:val="left" w:pos="7806"/>
        </w:tabs>
        <w:rPr>
          <w:rFonts w:asciiTheme="minorHAnsi" w:hAnsiTheme="minorHAnsi" w:cstheme="minorHAnsi"/>
          <w:sz w:val="22"/>
          <w:szCs w:val="22"/>
        </w:rPr>
      </w:pPr>
      <w:r w:rsidRPr="00D55FCD">
        <w:rPr>
          <w:rFonts w:asciiTheme="minorHAnsi" w:hAnsiTheme="minorHAnsi" w:cstheme="minorHAnsi"/>
          <w:sz w:val="22"/>
          <w:szCs w:val="22"/>
          <w:vertAlign w:val="superscript"/>
        </w:rPr>
        <w:t>4</w:t>
      </w:r>
      <w:r w:rsidRPr="00D55FCD">
        <w:rPr>
          <w:rFonts w:asciiTheme="minorHAnsi" w:hAnsiTheme="minorHAnsi" w:cstheme="minorHAnsi"/>
          <w:sz w:val="22"/>
          <w:szCs w:val="22"/>
        </w:rPr>
        <w:t>Pesticide Science Laboratory, Department of Crop Science, Agricultural University of Athens, 11855 Athens, Greece</w:t>
      </w:r>
    </w:p>
    <w:p w:rsidR="00005480" w:rsidRPr="004C5B66" w:rsidRDefault="00005480" w:rsidP="00005480">
      <w:pPr>
        <w:pStyle w:val="BodyA"/>
        <w:tabs>
          <w:tab w:val="left" w:pos="1440"/>
          <w:tab w:val="left" w:pos="2160"/>
          <w:tab w:val="left" w:pos="2880"/>
          <w:tab w:val="left" w:pos="3600"/>
          <w:tab w:val="left" w:pos="4320"/>
          <w:tab w:val="left" w:pos="5040"/>
          <w:tab w:val="left" w:pos="5760"/>
          <w:tab w:val="left" w:pos="6480"/>
          <w:tab w:val="left" w:pos="7200"/>
          <w:tab w:val="left" w:pos="7806"/>
        </w:tabs>
        <w:rPr>
          <w:rFonts w:asciiTheme="minorHAnsi" w:hAnsiTheme="minorHAnsi" w:cstheme="minorHAnsi"/>
          <w:sz w:val="22"/>
          <w:szCs w:val="22"/>
        </w:rPr>
      </w:pPr>
    </w:p>
    <w:p w:rsidR="00005480" w:rsidRPr="00D55FCD" w:rsidRDefault="00005480" w:rsidP="00005480">
      <w:pPr>
        <w:pStyle w:val="BodyA"/>
        <w:tabs>
          <w:tab w:val="left" w:pos="1440"/>
          <w:tab w:val="left" w:pos="2160"/>
          <w:tab w:val="left" w:pos="2880"/>
          <w:tab w:val="left" w:pos="3600"/>
          <w:tab w:val="left" w:pos="4320"/>
          <w:tab w:val="left" w:pos="5040"/>
          <w:tab w:val="left" w:pos="5760"/>
          <w:tab w:val="left" w:pos="6480"/>
          <w:tab w:val="left" w:pos="7200"/>
          <w:tab w:val="left" w:pos="7806"/>
        </w:tabs>
        <w:rPr>
          <w:rFonts w:asciiTheme="minorHAnsi" w:hAnsiTheme="minorHAnsi" w:cstheme="minorHAnsi"/>
          <w:b/>
        </w:rPr>
      </w:pPr>
      <w:r w:rsidRPr="00D55FCD">
        <w:rPr>
          <w:rFonts w:asciiTheme="minorHAnsi" w:hAnsiTheme="minorHAnsi" w:cstheme="minorHAnsi"/>
          <w:b/>
        </w:rPr>
        <w:t>ABSTRACT</w:t>
      </w:r>
    </w:p>
    <w:p w:rsidR="00005480" w:rsidRPr="00005480" w:rsidRDefault="00005480" w:rsidP="00005480">
      <w:pPr>
        <w:spacing w:before="100" w:beforeAutospacing="1" w:after="100" w:afterAutospacing="1" w:line="240" w:lineRule="auto"/>
        <w:jc w:val="both"/>
        <w:rPr>
          <w:rFonts w:cstheme="minorHAnsi"/>
          <w:lang w:val="en-US"/>
        </w:rPr>
      </w:pPr>
      <w:bookmarkStart w:id="0" w:name="_GoBack"/>
      <w:r w:rsidRPr="00005480">
        <w:rPr>
          <w:rFonts w:eastAsia="Times New Roman" w:cstheme="minorHAnsi"/>
          <w:lang w:val="en-US"/>
        </w:rPr>
        <w:t xml:space="preserve">Contact insecticides are primarily used for the control of </w:t>
      </w:r>
      <w:r w:rsidRPr="00005480">
        <w:rPr>
          <w:rFonts w:eastAsia="Times New Roman" w:cstheme="minorHAnsi"/>
          <w:i/>
          <w:lang w:val="en-US"/>
        </w:rPr>
        <w:t>Anopheles</w:t>
      </w:r>
      <w:r w:rsidRPr="00005480">
        <w:rPr>
          <w:rFonts w:eastAsia="Times New Roman" w:cstheme="minorHAnsi"/>
          <w:lang w:val="en-US"/>
        </w:rPr>
        <w:t xml:space="preserve"> malaria vectors. They cross mosquitoes’ legs and other appendages which represent the first barrier insecticides have to bypass to reach their neuronal targets. An </w:t>
      </w:r>
      <w:r w:rsidRPr="00005480">
        <w:rPr>
          <w:rFonts w:cstheme="minorHAnsi"/>
          <w:lang w:val="en-US"/>
        </w:rPr>
        <w:t xml:space="preserve">ATP-Binding Cassette transporter from the insect-specific H family (ABCH2) is highly expressed in </w:t>
      </w:r>
      <w:r w:rsidRPr="00005480">
        <w:rPr>
          <w:rFonts w:cstheme="minorHAnsi"/>
          <w:i/>
          <w:lang w:val="en-US"/>
        </w:rPr>
        <w:t xml:space="preserve">Anopheles </w:t>
      </w:r>
      <w:proofErr w:type="spellStart"/>
      <w:r w:rsidRPr="00005480">
        <w:rPr>
          <w:rFonts w:cstheme="minorHAnsi"/>
          <w:i/>
          <w:lang w:val="en-US"/>
        </w:rPr>
        <w:t>coluzzii</w:t>
      </w:r>
      <w:proofErr w:type="spellEnd"/>
      <w:r w:rsidRPr="00005480">
        <w:rPr>
          <w:rFonts w:cstheme="minorHAnsi"/>
          <w:i/>
          <w:lang w:val="en-US"/>
        </w:rPr>
        <w:t xml:space="preserve"> </w:t>
      </w:r>
      <w:r w:rsidRPr="00005480">
        <w:rPr>
          <w:rFonts w:cstheme="minorHAnsi"/>
          <w:lang w:val="en-US"/>
        </w:rPr>
        <w:t xml:space="preserve">legs, especially upon insecticide exposure. </w:t>
      </w:r>
      <w:proofErr w:type="spellStart"/>
      <w:r w:rsidRPr="00005480">
        <w:rPr>
          <w:rFonts w:cstheme="minorHAnsi"/>
          <w:lang w:val="en-US"/>
        </w:rPr>
        <w:t>RNAi</w:t>
      </w:r>
      <w:proofErr w:type="spellEnd"/>
      <w:r w:rsidRPr="00005480">
        <w:rPr>
          <w:rFonts w:cstheme="minorHAnsi"/>
          <w:lang w:val="en-US"/>
        </w:rPr>
        <w:t xml:space="preserve">-mediated silencing of the </w:t>
      </w:r>
      <w:r w:rsidRPr="00005480">
        <w:rPr>
          <w:rFonts w:cstheme="minorHAnsi"/>
          <w:i/>
          <w:lang w:val="en-US"/>
        </w:rPr>
        <w:t>ABCH2</w:t>
      </w:r>
      <w:r w:rsidRPr="00005480">
        <w:rPr>
          <w:rFonts w:cstheme="minorHAnsi"/>
          <w:lang w:val="en-US"/>
        </w:rPr>
        <w:t xml:space="preserve"> caused a dramatic increase in mortality compared to control mosquitoes, indicating a role of this transporter in </w:t>
      </w:r>
      <w:proofErr w:type="spellStart"/>
      <w:r w:rsidRPr="00005480">
        <w:rPr>
          <w:rFonts w:cstheme="minorHAnsi"/>
          <w:lang w:val="en-US"/>
        </w:rPr>
        <w:t>deltamethrin</w:t>
      </w:r>
      <w:proofErr w:type="spellEnd"/>
      <w:r w:rsidRPr="00005480">
        <w:rPr>
          <w:rFonts w:cstheme="minorHAnsi"/>
          <w:lang w:val="en-US"/>
        </w:rPr>
        <w:t xml:space="preserve"> toxicity. RT-</w:t>
      </w:r>
      <w:proofErr w:type="spellStart"/>
      <w:r w:rsidRPr="00005480">
        <w:rPr>
          <w:rFonts w:cstheme="minorHAnsi"/>
          <w:lang w:val="en-US"/>
        </w:rPr>
        <w:t>qPCR</w:t>
      </w:r>
      <w:proofErr w:type="spellEnd"/>
      <w:r w:rsidRPr="00005480">
        <w:rPr>
          <w:rFonts w:cstheme="minorHAnsi"/>
          <w:lang w:val="en-US"/>
        </w:rPr>
        <w:t xml:space="preserve"> analysis and </w:t>
      </w:r>
      <w:proofErr w:type="spellStart"/>
      <w:r w:rsidRPr="00005480">
        <w:rPr>
          <w:rFonts w:cstheme="minorHAnsi"/>
          <w:lang w:val="en-US"/>
        </w:rPr>
        <w:t>immunolocalization</w:t>
      </w:r>
      <w:proofErr w:type="spellEnd"/>
      <w:r w:rsidRPr="00005480">
        <w:rPr>
          <w:rFonts w:cstheme="minorHAnsi"/>
          <w:lang w:val="en-US"/>
        </w:rPr>
        <w:t xml:space="preserve"> of the ABCH2 using specific antibodies showed that it is mainly present in legs. More specifically, the protein is expressed in the apical part of leg epidermis, underneath the cuticle. Phylogenetic analysis indicated that this transporter is </w:t>
      </w:r>
      <w:proofErr w:type="spellStart"/>
      <w:r w:rsidRPr="00005480">
        <w:rPr>
          <w:rFonts w:cstheme="minorHAnsi"/>
          <w:lang w:val="en-US"/>
        </w:rPr>
        <w:t>orthologue</w:t>
      </w:r>
      <w:proofErr w:type="spellEnd"/>
      <w:r w:rsidRPr="00005480">
        <w:rPr>
          <w:rFonts w:cstheme="minorHAnsi"/>
          <w:lang w:val="en-US"/>
        </w:rPr>
        <w:t xml:space="preserve"> with other ABCH transporters previously found to be implicated in lipid transport. However, analysis of the leg </w:t>
      </w:r>
      <w:proofErr w:type="spellStart"/>
      <w:r w:rsidRPr="00005480">
        <w:rPr>
          <w:rFonts w:cstheme="minorHAnsi"/>
          <w:lang w:val="en-US"/>
        </w:rPr>
        <w:t>cuticular</w:t>
      </w:r>
      <w:proofErr w:type="spellEnd"/>
      <w:r w:rsidRPr="00005480">
        <w:rPr>
          <w:rFonts w:cstheme="minorHAnsi"/>
          <w:lang w:val="en-US"/>
        </w:rPr>
        <w:t xml:space="preserve"> hydrocarbon (CH) content was not affected by </w:t>
      </w:r>
      <w:r w:rsidRPr="00005480">
        <w:rPr>
          <w:rFonts w:cstheme="minorHAnsi"/>
          <w:i/>
          <w:lang w:val="en-US"/>
        </w:rPr>
        <w:t>ABCH2</w:t>
      </w:r>
      <w:r w:rsidRPr="00005480">
        <w:rPr>
          <w:rFonts w:cstheme="minorHAnsi"/>
          <w:lang w:val="en-US"/>
        </w:rPr>
        <w:t xml:space="preserve"> </w:t>
      </w:r>
      <w:proofErr w:type="spellStart"/>
      <w:r w:rsidRPr="00005480">
        <w:rPr>
          <w:rFonts w:cstheme="minorHAnsi"/>
          <w:lang w:val="en-US"/>
        </w:rPr>
        <w:t>RNAi</w:t>
      </w:r>
      <w:proofErr w:type="spellEnd"/>
      <w:r w:rsidRPr="00005480">
        <w:rPr>
          <w:rFonts w:cstheme="minorHAnsi"/>
          <w:lang w:val="en-US"/>
        </w:rPr>
        <w:t xml:space="preserve">, indicating that the role of this transporter in </w:t>
      </w:r>
      <w:proofErr w:type="spellStart"/>
      <w:r w:rsidRPr="00005480">
        <w:rPr>
          <w:rFonts w:cstheme="minorHAnsi"/>
          <w:lang w:val="en-US"/>
        </w:rPr>
        <w:t>pyrethroid</w:t>
      </w:r>
      <w:proofErr w:type="spellEnd"/>
      <w:r w:rsidRPr="00005480">
        <w:rPr>
          <w:rFonts w:cstheme="minorHAnsi"/>
          <w:lang w:val="en-US"/>
        </w:rPr>
        <w:t xml:space="preserve"> toxicity is not associated with the transport of </w:t>
      </w:r>
      <w:r w:rsidRPr="00005480">
        <w:rPr>
          <w:rFonts w:cstheme="minorHAnsi"/>
          <w:lang w:val="en-US"/>
        </w:rPr>
        <w:t>leg CHCs.</w:t>
      </w:r>
      <w:r w:rsidRPr="00005480">
        <w:rPr>
          <w:rFonts w:cstheme="minorHAnsi"/>
          <w:lang w:val="en-US"/>
        </w:rPr>
        <w:t xml:space="preserve"> </w:t>
      </w:r>
      <w:commentRangeStart w:id="1"/>
      <w:r w:rsidRPr="00005480">
        <w:rPr>
          <w:rFonts w:cstheme="minorHAnsi"/>
          <w:lang w:val="en-US"/>
        </w:rPr>
        <w:t>We next performed protein modeling of ABCH2 based on the closest homologue available structure, the human ABCG1</w:t>
      </w:r>
      <w:r w:rsidRPr="00005480">
        <w:rPr>
          <w:rFonts w:cstheme="minorHAnsi"/>
          <w:lang w:val="en-US"/>
        </w:rPr>
        <w:t xml:space="preserve">. </w:t>
      </w:r>
      <w:r w:rsidRPr="00005480">
        <w:rPr>
          <w:rFonts w:cstheme="minorHAnsi"/>
          <w:i/>
          <w:lang w:val="en-US"/>
        </w:rPr>
        <w:t xml:space="preserve">In </w:t>
      </w:r>
      <w:proofErr w:type="spellStart"/>
      <w:r w:rsidRPr="00005480">
        <w:rPr>
          <w:rFonts w:cstheme="minorHAnsi"/>
          <w:i/>
          <w:lang w:val="en-US"/>
        </w:rPr>
        <w:t>silico</w:t>
      </w:r>
      <w:proofErr w:type="spellEnd"/>
      <w:r w:rsidRPr="00005480">
        <w:rPr>
          <w:rFonts w:cstheme="minorHAnsi"/>
          <w:lang w:val="en-US"/>
        </w:rPr>
        <w:t xml:space="preserve"> modeling, together with its functional </w:t>
      </w:r>
      <w:r w:rsidRPr="00005480">
        <w:rPr>
          <w:rFonts w:cstheme="minorHAnsi"/>
          <w:i/>
          <w:lang w:val="en-US"/>
        </w:rPr>
        <w:t>in vitro</w:t>
      </w:r>
      <w:r w:rsidRPr="00005480">
        <w:rPr>
          <w:rFonts w:cstheme="minorHAnsi"/>
          <w:lang w:val="en-US"/>
        </w:rPr>
        <w:t xml:space="preserve"> expression in </w:t>
      </w:r>
      <w:r w:rsidRPr="00005480">
        <w:rPr>
          <w:rFonts w:cstheme="minorHAnsi"/>
          <w:i/>
          <w:lang w:val="en-US"/>
        </w:rPr>
        <w:t>Sf9</w:t>
      </w:r>
      <w:r w:rsidRPr="00005480">
        <w:rPr>
          <w:rFonts w:cstheme="minorHAnsi"/>
          <w:lang w:val="en-US"/>
        </w:rPr>
        <w:t xml:space="preserve"> insect cells, provide clear evidence that ABCH2 half-transporter, likely physiologically adopts a </w:t>
      </w:r>
      <w:proofErr w:type="spellStart"/>
      <w:r w:rsidRPr="00005480">
        <w:rPr>
          <w:rFonts w:cstheme="minorHAnsi"/>
          <w:lang w:val="en-US"/>
        </w:rPr>
        <w:t>homodimeric</w:t>
      </w:r>
      <w:proofErr w:type="spellEnd"/>
      <w:r w:rsidRPr="00005480">
        <w:rPr>
          <w:rFonts w:cstheme="minorHAnsi"/>
          <w:lang w:val="en-US"/>
        </w:rPr>
        <w:t xml:space="preserve"> state. Concomitant protein-ligand docking analysis strongly indicate that </w:t>
      </w:r>
      <w:proofErr w:type="spellStart"/>
      <w:r w:rsidRPr="00005480">
        <w:rPr>
          <w:rFonts w:cstheme="minorHAnsi"/>
          <w:lang w:val="en-US"/>
        </w:rPr>
        <w:t>deltamethrin</w:t>
      </w:r>
      <w:proofErr w:type="spellEnd"/>
      <w:r w:rsidRPr="00005480">
        <w:rPr>
          <w:rFonts w:cstheme="minorHAnsi"/>
          <w:strike/>
          <w:lang w:val="en-US"/>
        </w:rPr>
        <w:t xml:space="preserve"> </w:t>
      </w:r>
      <w:commentRangeEnd w:id="1"/>
      <w:r w:rsidRPr="00005480">
        <w:rPr>
          <w:rFonts w:cstheme="minorHAnsi"/>
          <w:lang w:val="en-US"/>
        </w:rPr>
        <w:t>could be a potentia</w:t>
      </w:r>
      <w:r w:rsidRPr="00005480">
        <w:rPr>
          <w:rFonts w:cstheme="minorHAnsi"/>
          <w:lang w:val="en-US"/>
        </w:rPr>
        <w:t xml:space="preserve">l substrate of this transporter. </w:t>
      </w:r>
      <w:r w:rsidRPr="00005480">
        <w:rPr>
          <w:rFonts w:cstheme="minorHAnsi"/>
          <w:lang w:val="en-US"/>
        </w:rPr>
        <w:t xml:space="preserve">Our findings reveal a previously undescribed mechanism of insecticide toxicity in mosquitoes, pinpointing ABCH2 as a major player of </w:t>
      </w:r>
      <w:proofErr w:type="spellStart"/>
      <w:r w:rsidRPr="00005480">
        <w:rPr>
          <w:rFonts w:cstheme="minorHAnsi"/>
          <w:lang w:val="en-US"/>
        </w:rPr>
        <w:t>deltamethrin</w:t>
      </w:r>
      <w:proofErr w:type="spellEnd"/>
      <w:r w:rsidRPr="00005480">
        <w:rPr>
          <w:rFonts w:cstheme="minorHAnsi"/>
          <w:lang w:val="en-US"/>
        </w:rPr>
        <w:t xml:space="preserve"> toxicity and potential target for vector control in the future.</w:t>
      </w:r>
    </w:p>
    <w:bookmarkEnd w:id="0"/>
    <w:p w:rsidR="00813762" w:rsidRPr="00005480" w:rsidRDefault="00813762">
      <w:pPr>
        <w:rPr>
          <w:lang w:val="en-US"/>
        </w:rPr>
      </w:pPr>
    </w:p>
    <w:sectPr w:rsidR="00813762" w:rsidRPr="000054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80"/>
    <w:rsid w:val="00005480"/>
    <w:rsid w:val="008137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6E752-17EC-421A-B8B9-2FE78CD9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qFormat/>
    <w:rsid w:val="00005480"/>
    <w:pPr>
      <w:widowControl w:val="0"/>
      <w:suppressAutoHyphens/>
      <w:overflowPunct w:val="0"/>
      <w:spacing w:after="200"/>
    </w:pPr>
    <w:rPr>
      <w:rFonts w:ascii="Cambria" w:eastAsia="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kf</dc:creator>
  <cp:keywords/>
  <dc:description/>
  <cp:lastModifiedBy>mary kf</cp:lastModifiedBy>
  <cp:revision>1</cp:revision>
  <dcterms:created xsi:type="dcterms:W3CDTF">2022-05-30T11:12:00Z</dcterms:created>
  <dcterms:modified xsi:type="dcterms:W3CDTF">2022-05-30T11:13:00Z</dcterms:modified>
</cp:coreProperties>
</file>